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2F933" w14:textId="77777777" w:rsidR="000910C4" w:rsidRPr="001E034F" w:rsidRDefault="000910C4" w:rsidP="000910C4">
      <w:pPr>
        <w:pageBreakBefore/>
        <w:bidi/>
        <w:spacing w:line="240" w:lineRule="auto"/>
        <w:jc w:val="center"/>
        <w:rPr>
          <w:rFonts w:ascii="Dubai" w:hAnsi="Dubai" w:cs="Dubai"/>
        </w:rPr>
      </w:pPr>
    </w:p>
    <w:p w14:paraId="7F8EE893" w14:textId="357D0416" w:rsidR="000910C4" w:rsidRPr="000910C4" w:rsidRDefault="000910C4" w:rsidP="000910C4">
      <w:pPr>
        <w:shd w:val="clear" w:color="auto" w:fill="1C2E4A"/>
        <w:bidi/>
        <w:spacing w:before="180" w:line="240" w:lineRule="auto"/>
        <w:jc w:val="center"/>
        <w:rPr>
          <w:rFonts w:ascii="Dubai" w:hAnsi="Dubai" w:cs="Dubai"/>
          <w:sz w:val="24"/>
          <w:szCs w:val="24"/>
        </w:rPr>
      </w:pPr>
      <w:r w:rsidRPr="000910C4">
        <w:rPr>
          <w:rFonts w:ascii="Dubai" w:eastAsia="Traditional Arabic" w:hAnsi="Dubai" w:cs="Dubai" w:hint="cs"/>
          <w:b/>
          <w:bCs/>
          <w:color w:val="FFFFFF"/>
          <w:sz w:val="32"/>
          <w:szCs w:val="32"/>
          <w:rtl/>
        </w:rPr>
        <w:t>ملخص الكتاب</w:t>
      </w:r>
    </w:p>
    <w:p w14:paraId="287D4172" w14:textId="77777777" w:rsidR="000910C4" w:rsidRPr="001E034F" w:rsidRDefault="000910C4" w:rsidP="000910C4">
      <w:pPr>
        <w:pBdr>
          <w:bottom w:val="single" w:sz="4" w:space="1" w:color="9A7B2F"/>
        </w:pBdr>
        <w:bidi/>
        <w:spacing w:line="240" w:lineRule="auto"/>
        <w:jc w:val="center"/>
        <w:rPr>
          <w:rFonts w:ascii="Dubai" w:hAnsi="Dubai" w:cs="Dubai"/>
        </w:rPr>
      </w:pPr>
    </w:p>
    <w:p w14:paraId="68447792" w14:textId="77777777" w:rsidR="000910C4" w:rsidRPr="001E034F" w:rsidRDefault="000910C4" w:rsidP="000910C4">
      <w:pPr>
        <w:bidi/>
        <w:spacing w:after="80" w:line="240" w:lineRule="auto"/>
        <w:jc w:val="center"/>
        <w:rPr>
          <w:rFonts w:ascii="Dubai" w:hAnsi="Dubai" w:cs="Dubai"/>
        </w:rPr>
      </w:pPr>
    </w:p>
    <w:p w14:paraId="25AC0EFB" w14:textId="4D3FF53D" w:rsidR="000910C4" w:rsidRPr="000910C4" w:rsidRDefault="000910C4" w:rsidP="000910C4">
      <w:pPr>
        <w:bidi/>
        <w:spacing w:after="30" w:line="240" w:lineRule="auto"/>
        <w:jc w:val="center"/>
        <w:rPr>
          <w:rFonts w:ascii="Dubai" w:hAnsi="Dubai" w:cs="خط مسعد المغربي"/>
          <w:sz w:val="28"/>
          <w:szCs w:val="28"/>
        </w:rPr>
      </w:pPr>
      <w:r w:rsidRPr="000910C4">
        <w:rPr>
          <w:rFonts w:ascii="Dubai" w:eastAsia="Traditional Arabic" w:hAnsi="Dubai" w:cs="خط مسعد المغربي"/>
          <w:b/>
          <w:bCs/>
          <w:color w:val="1C2E4A"/>
          <w:sz w:val="48"/>
          <w:szCs w:val="48"/>
        </w:rPr>
        <w:t>مَمْلَكَةُ الأَوْرَاشِ</w:t>
      </w:r>
      <w:r w:rsidR="00C65684">
        <w:rPr>
          <w:rFonts w:ascii="Dubai" w:eastAsia="Traditional Arabic" w:hAnsi="Dubai" w:cs="خط مسعد المغربي"/>
          <w:b/>
          <w:bCs/>
          <w:color w:val="1C2E4A"/>
          <w:sz w:val="48"/>
          <w:szCs w:val="48"/>
        </w:rPr>
        <w:t xml:space="preserve"> </w:t>
      </w:r>
    </w:p>
    <w:p w14:paraId="54C77F16" w14:textId="77777777" w:rsidR="000910C4" w:rsidRPr="000910C4" w:rsidRDefault="000910C4" w:rsidP="000910C4">
      <w:pPr>
        <w:bidi/>
        <w:spacing w:after="80" w:line="240" w:lineRule="auto"/>
        <w:jc w:val="center"/>
        <w:rPr>
          <w:rFonts w:ascii="Dubai" w:hAnsi="Dubai" w:cs="خط مسعد المغربي"/>
          <w:sz w:val="28"/>
          <w:szCs w:val="28"/>
        </w:rPr>
      </w:pPr>
      <w:r w:rsidRPr="000910C4">
        <w:rPr>
          <w:rFonts w:ascii="Dubai" w:eastAsia="Traditional Arabic" w:hAnsi="Dubai" w:cs="خط مسعد المغربي"/>
          <w:color w:val="9A7B2F"/>
          <w:sz w:val="28"/>
          <w:szCs w:val="28"/>
        </w:rPr>
        <w:t>حين تصنعُ إرادةُ المَلِكِ ملحمةَ الوطن</w:t>
      </w:r>
    </w:p>
    <w:p w14:paraId="046348E9" w14:textId="77777777" w:rsidR="000910C4" w:rsidRPr="001E034F" w:rsidRDefault="000910C4" w:rsidP="000910C4">
      <w:pPr>
        <w:pBdr>
          <w:bottom w:val="single" w:sz="2" w:space="1" w:color="DDDDDD"/>
        </w:pBdr>
        <w:bidi/>
        <w:spacing w:line="240" w:lineRule="auto"/>
        <w:jc w:val="both"/>
        <w:rPr>
          <w:rFonts w:ascii="Dubai" w:hAnsi="Dubai" w:cs="Dubai"/>
        </w:rPr>
      </w:pPr>
    </w:p>
    <w:p w14:paraId="6FF0C4EB" w14:textId="08BBE035" w:rsidR="000910C4" w:rsidRPr="00072C24" w:rsidRDefault="000910C4" w:rsidP="000910C4">
      <w:pPr>
        <w:bidi/>
        <w:spacing w:after="0" w:line="240" w:lineRule="auto"/>
        <w:jc w:val="both"/>
        <w:rPr>
          <w:rFonts w:ascii="Dubai" w:hAnsi="Dubai" w:cs="Dubai"/>
          <w:sz w:val="24"/>
          <w:szCs w:val="24"/>
        </w:rPr>
      </w:pPr>
      <w:r w:rsidRPr="00072C24">
        <w:rPr>
          <w:rFonts w:ascii="Dubai" w:hAnsi="Dubai" w:cs="Dubai"/>
          <w:sz w:val="24"/>
          <w:szCs w:val="24"/>
          <w:rtl/>
        </w:rPr>
        <w:t>يأتي كتاب مملكة الأوراش في سياق محاولة فكرية وأكاديمية لقراءة واحد</w:t>
      </w:r>
      <w:r w:rsidR="00244376">
        <w:rPr>
          <w:rFonts w:ascii="Dubai" w:hAnsi="Dubai" w:cs="Dubai" w:hint="cs"/>
          <w:sz w:val="24"/>
          <w:szCs w:val="24"/>
          <w:rtl/>
          <w:lang w:bidi="ar-MA"/>
        </w:rPr>
        <w:t>ة</w:t>
      </w:r>
      <w:r w:rsidRPr="00072C24">
        <w:rPr>
          <w:rFonts w:ascii="Dubai" w:hAnsi="Dubai" w:cs="Dubai"/>
          <w:sz w:val="24"/>
          <w:szCs w:val="24"/>
          <w:rtl/>
        </w:rPr>
        <w:t xml:space="preserve"> من أكثر المسارات السياسية والتنموية فرادةً في العالم العربي والإفريقي المعاصر، وهو المسار الذي بصم المملكة المغربية منذ اعتلاء</w:t>
      </w:r>
      <w:r>
        <w:rPr>
          <w:rFonts w:ascii="Dubai" w:hAnsi="Dubai" w:cs="Dubai"/>
          <w:sz w:val="24"/>
          <w:szCs w:val="24"/>
        </w:rPr>
        <w:t xml:space="preserve"> </w:t>
      </w:r>
      <w:r w:rsidRPr="00072C24">
        <w:rPr>
          <w:rFonts w:ascii="Dubai" w:hAnsi="Dubai" w:cs="Dubai"/>
          <w:sz w:val="24"/>
          <w:szCs w:val="24"/>
          <w:rtl/>
        </w:rPr>
        <w:t>جلالة الملك محمد السادس عرش أسلافه العلوين. غير أن هذه القراءة لا تقف عند حدود الجرد الكرونولوجي للإنجازات، ولا تكتفي بالإحصاء والتوثيق فقط، بل تسعى إلى فهم البنية العميقة لما جرى: كيف تشكّل نموذج جديد للدولة المغربية؟ وما الخيط الناظم الذي يربط بين عشرات الأوراش المتنوعة في مجالاتها وتواريخها وأهدافها؟ وكيف تحولت سياسة الحكم في هذه المرحلة من ممارسة قطاعية منفصلة إلى رؤية حضارية متكاملة؟</w:t>
      </w:r>
    </w:p>
    <w:p w14:paraId="02BF6702" w14:textId="4C0ECBAD" w:rsidR="000910C4" w:rsidRPr="00072C24" w:rsidRDefault="000910C4" w:rsidP="000910C4">
      <w:pPr>
        <w:bidi/>
        <w:spacing w:after="0" w:line="240" w:lineRule="auto"/>
        <w:jc w:val="both"/>
        <w:rPr>
          <w:rFonts w:ascii="Dubai" w:hAnsi="Dubai" w:cs="Dubai"/>
          <w:sz w:val="24"/>
          <w:szCs w:val="24"/>
        </w:rPr>
      </w:pPr>
      <w:r w:rsidRPr="00072C24">
        <w:rPr>
          <w:rFonts w:ascii="Dubai" w:hAnsi="Dubai" w:cs="Dubai"/>
          <w:sz w:val="24"/>
          <w:szCs w:val="24"/>
          <w:rtl/>
        </w:rPr>
        <w:t xml:space="preserve">لا يتعامل هذا الكتاب مع "الأوراش الكبرى" باعتبارها مجرد مشاريع للبنيات التحتية أو استثمارات عمومية ضخمة، بل يقرأها بوصفها فلسفة حكم متكاملة تقوم على ثلاث دعائم متشابكة: </w:t>
      </w:r>
      <w:r w:rsidRPr="00072C24">
        <w:rPr>
          <w:rFonts w:ascii="Dubai" w:hAnsi="Dubai" w:cs="Dubai"/>
          <w:b/>
          <w:bCs/>
          <w:sz w:val="24"/>
          <w:szCs w:val="24"/>
          <w:u w:val="single"/>
          <w:rtl/>
        </w:rPr>
        <w:t>فكرة الدولة المبادِرة</w:t>
      </w:r>
      <w:r w:rsidRPr="00072C24">
        <w:rPr>
          <w:rFonts w:ascii="Dubai" w:hAnsi="Dubai" w:cs="Dubai"/>
          <w:sz w:val="24"/>
          <w:szCs w:val="24"/>
          <w:rtl/>
        </w:rPr>
        <w:t xml:space="preserve"> التي لا تنتظر حتى تتضح ملامح الأزمة لتتحرك، بل تستبق وتُصمِّم وتُهندس؛ </w:t>
      </w:r>
      <w:r w:rsidRPr="00072C24">
        <w:rPr>
          <w:rFonts w:ascii="Dubai" w:hAnsi="Dubai" w:cs="Dubai"/>
          <w:b/>
          <w:bCs/>
          <w:sz w:val="24"/>
          <w:szCs w:val="24"/>
          <w:u w:val="single"/>
          <w:rtl/>
        </w:rPr>
        <w:t>و</w:t>
      </w:r>
      <w:r w:rsidRPr="0096155C">
        <w:rPr>
          <w:rFonts w:ascii="Dubai" w:hAnsi="Dubai" w:cs="Dubai" w:hint="cs"/>
          <w:b/>
          <w:bCs/>
          <w:sz w:val="24"/>
          <w:szCs w:val="24"/>
          <w:u w:val="single"/>
          <w:rtl/>
        </w:rPr>
        <w:t xml:space="preserve">فكرة </w:t>
      </w:r>
      <w:r w:rsidRPr="00072C24">
        <w:rPr>
          <w:rFonts w:ascii="Dubai" w:hAnsi="Dubai" w:cs="Dubai"/>
          <w:b/>
          <w:bCs/>
          <w:sz w:val="24"/>
          <w:szCs w:val="24"/>
          <w:u w:val="single"/>
          <w:rtl/>
        </w:rPr>
        <w:t>الدولة الاجتماعية</w:t>
      </w:r>
      <w:r w:rsidRPr="00072C24">
        <w:rPr>
          <w:rFonts w:ascii="Dubai" w:hAnsi="Dubai" w:cs="Dubai"/>
          <w:sz w:val="24"/>
          <w:szCs w:val="24"/>
          <w:rtl/>
        </w:rPr>
        <w:t xml:space="preserve"> التي تجعل من العدالة التوزيعية وتقليص الفوارق المجالية ركيزةً للشرعية لا مجرد التزام أخلاقي؛ </w:t>
      </w:r>
      <w:r w:rsidRPr="00072C24">
        <w:rPr>
          <w:rFonts w:ascii="Dubai" w:hAnsi="Dubai" w:cs="Dubai"/>
          <w:b/>
          <w:bCs/>
          <w:sz w:val="24"/>
          <w:szCs w:val="24"/>
          <w:u w:val="single"/>
          <w:rtl/>
        </w:rPr>
        <w:t>و</w:t>
      </w:r>
      <w:r w:rsidRPr="0096155C">
        <w:rPr>
          <w:rFonts w:ascii="Dubai" w:hAnsi="Dubai" w:cs="Dubai" w:hint="cs"/>
          <w:b/>
          <w:bCs/>
          <w:sz w:val="24"/>
          <w:szCs w:val="24"/>
          <w:u w:val="single"/>
          <w:rtl/>
        </w:rPr>
        <w:t xml:space="preserve">فكرة </w:t>
      </w:r>
      <w:r w:rsidRPr="00072C24">
        <w:rPr>
          <w:rFonts w:ascii="Dubai" w:hAnsi="Dubai" w:cs="Dubai"/>
          <w:b/>
          <w:bCs/>
          <w:sz w:val="24"/>
          <w:szCs w:val="24"/>
          <w:u w:val="single"/>
          <w:rtl/>
        </w:rPr>
        <w:t>دولة</w:t>
      </w:r>
      <w:r w:rsidRPr="0096155C">
        <w:rPr>
          <w:rFonts w:ascii="Dubai" w:hAnsi="Dubai" w:cs="Dubai" w:hint="cs"/>
          <w:b/>
          <w:bCs/>
          <w:sz w:val="24"/>
          <w:szCs w:val="24"/>
          <w:u w:val="single"/>
          <w:rtl/>
        </w:rPr>
        <w:t xml:space="preserve"> "الثقة الوطنية"</w:t>
      </w:r>
      <w:r w:rsidRPr="00072C24">
        <w:rPr>
          <w:rFonts w:ascii="Dubai" w:hAnsi="Dubai" w:cs="Dubai"/>
          <w:sz w:val="24"/>
          <w:szCs w:val="24"/>
          <w:rtl/>
        </w:rPr>
        <w:t xml:space="preserve"> التي تُحوِّل التنمية إلى أداة لإعادة إنتاج الثقة السياسية وتجديد العقد الاجتماعي بين المؤسسة والمواطن</w:t>
      </w:r>
      <w:r w:rsidRPr="00072C24">
        <w:rPr>
          <w:rFonts w:ascii="Dubai" w:hAnsi="Dubai" w:cs="Dubai"/>
          <w:sz w:val="24"/>
          <w:szCs w:val="24"/>
        </w:rPr>
        <w:t>.</w:t>
      </w:r>
    </w:p>
    <w:p w14:paraId="03DF601E" w14:textId="57B7DF27" w:rsidR="000910C4" w:rsidRPr="00072C24" w:rsidRDefault="000910C4" w:rsidP="000910C4">
      <w:pPr>
        <w:bidi/>
        <w:spacing w:after="0" w:line="240" w:lineRule="auto"/>
        <w:jc w:val="both"/>
        <w:rPr>
          <w:rFonts w:ascii="Dubai" w:hAnsi="Dubai" w:cs="Dubai"/>
          <w:sz w:val="24"/>
          <w:szCs w:val="24"/>
        </w:rPr>
      </w:pPr>
      <w:r w:rsidRPr="00072C24">
        <w:rPr>
          <w:rFonts w:ascii="Dubai" w:hAnsi="Dubai" w:cs="Dubai"/>
          <w:sz w:val="24"/>
          <w:szCs w:val="24"/>
          <w:rtl/>
        </w:rPr>
        <w:t xml:space="preserve">يطرح الكتاب </w:t>
      </w:r>
      <w:r w:rsidR="004F38E8">
        <w:rPr>
          <w:rFonts w:ascii="Dubai" w:hAnsi="Dubai" w:cs="Dubai" w:hint="cs"/>
          <w:sz w:val="24"/>
          <w:szCs w:val="24"/>
          <w:rtl/>
        </w:rPr>
        <w:t xml:space="preserve">عنوانا </w:t>
      </w:r>
      <w:r w:rsidRPr="00072C24">
        <w:rPr>
          <w:rFonts w:ascii="Dubai" w:hAnsi="Dubai" w:cs="Dubai"/>
          <w:sz w:val="24"/>
          <w:szCs w:val="24"/>
          <w:rtl/>
        </w:rPr>
        <w:t>جوهري</w:t>
      </w:r>
      <w:r w:rsidR="004F38E8">
        <w:rPr>
          <w:rFonts w:ascii="Dubai" w:hAnsi="Dubai" w:cs="Dubai" w:hint="cs"/>
          <w:sz w:val="24"/>
          <w:szCs w:val="24"/>
          <w:rtl/>
        </w:rPr>
        <w:t>ا</w:t>
      </w:r>
      <w:r w:rsidRPr="00072C24">
        <w:rPr>
          <w:rFonts w:ascii="Dubai" w:hAnsi="Dubai" w:cs="Dubai"/>
          <w:sz w:val="24"/>
          <w:szCs w:val="24"/>
          <w:rtl/>
        </w:rPr>
        <w:t xml:space="preserve"> </w:t>
      </w:r>
      <w:r w:rsidR="004F38E8">
        <w:rPr>
          <w:rFonts w:ascii="Dubai" w:hAnsi="Dubai" w:cs="Dubai" w:hint="cs"/>
          <w:sz w:val="24"/>
          <w:szCs w:val="24"/>
          <w:rtl/>
        </w:rPr>
        <w:t>ي</w:t>
      </w:r>
      <w:r w:rsidRPr="00072C24">
        <w:rPr>
          <w:rFonts w:ascii="Dubai" w:hAnsi="Dubai" w:cs="Dubai"/>
          <w:sz w:val="24"/>
          <w:szCs w:val="24"/>
          <w:rtl/>
        </w:rPr>
        <w:t>تجاوز حدود الدراسة الوصفية:</w:t>
      </w:r>
      <w:r w:rsidR="00244376">
        <w:rPr>
          <w:rFonts w:ascii="Dubai" w:hAnsi="Dubai" w:cs="Dubai" w:hint="cs"/>
          <w:sz w:val="24"/>
          <w:szCs w:val="24"/>
          <w:rtl/>
        </w:rPr>
        <w:t xml:space="preserve"> أو </w:t>
      </w:r>
      <w:r w:rsidRPr="00072C24">
        <w:rPr>
          <w:rFonts w:ascii="Dubai" w:hAnsi="Dubai" w:cs="Dubai"/>
          <w:sz w:val="24"/>
          <w:szCs w:val="24"/>
          <w:rtl/>
        </w:rPr>
        <w:t xml:space="preserve">كيف استطاعت </w:t>
      </w:r>
      <w:r w:rsidR="004F38E8">
        <w:rPr>
          <w:rFonts w:ascii="Dubai" w:hAnsi="Dubai" w:cs="Dubai" w:hint="cs"/>
          <w:sz w:val="24"/>
          <w:szCs w:val="24"/>
          <w:rtl/>
          <w:lang w:bidi="ar-MA"/>
        </w:rPr>
        <w:t>ال</w:t>
      </w:r>
      <w:r w:rsidRPr="00072C24">
        <w:rPr>
          <w:rFonts w:ascii="Dubai" w:hAnsi="Dubai" w:cs="Dubai"/>
          <w:sz w:val="24"/>
          <w:szCs w:val="24"/>
          <w:rtl/>
        </w:rPr>
        <w:t xml:space="preserve">مؤسسة </w:t>
      </w:r>
      <w:r w:rsidR="004F38E8">
        <w:rPr>
          <w:rFonts w:ascii="Dubai" w:hAnsi="Dubai" w:cs="Dubai" w:hint="cs"/>
          <w:sz w:val="24"/>
          <w:szCs w:val="24"/>
          <w:rtl/>
        </w:rPr>
        <w:t>ال</w:t>
      </w:r>
      <w:r w:rsidRPr="00072C24">
        <w:rPr>
          <w:rFonts w:ascii="Dubai" w:hAnsi="Dubai" w:cs="Dubai"/>
          <w:sz w:val="24"/>
          <w:szCs w:val="24"/>
          <w:rtl/>
        </w:rPr>
        <w:t>ملكية أن تُنجز، في ظرف ربع قرن فقط، تحولاتٍ هيكلية ممتدة عبر قطاعات متعددة ومتباينة، في حين تعثّرت دول مماثلة في تحقيق إصلاحات مقاربة رغم توفرها على موارد أوفر وضغوط دولية أشد؟ والجواب الذي يُقدّمه الكتاب لا يُرجع الأمر إلى الوفرة المادية ولا إلى حسن الطالع التاريخي، بل يكشف عن منطق داخلي يقوم على: الاستمرارية في الرؤية رغم تعاقب الحكومات، والتراكم المؤسسي الذي يُحوِّل كل ورش إلى رافعة للورش التالي، والروايةِ التأسيسية الجامعة التي تمنح مجموع الأوراش معنىً سياسياً ومجتمعياً يتجاوز مجموع أجزائه</w:t>
      </w:r>
      <w:r w:rsidRPr="00072C24">
        <w:rPr>
          <w:rFonts w:ascii="Dubai" w:hAnsi="Dubai" w:cs="Dubai"/>
          <w:sz w:val="24"/>
          <w:szCs w:val="24"/>
        </w:rPr>
        <w:t>.</w:t>
      </w:r>
    </w:p>
    <w:p w14:paraId="2B770EB5" w14:textId="77777777" w:rsidR="000910C4" w:rsidRPr="00072C24" w:rsidRDefault="000910C4" w:rsidP="000910C4">
      <w:pPr>
        <w:bidi/>
        <w:spacing w:after="0" w:line="240" w:lineRule="auto"/>
        <w:jc w:val="both"/>
        <w:rPr>
          <w:rFonts w:ascii="Dubai" w:hAnsi="Dubai" w:cs="Dubai"/>
          <w:sz w:val="24"/>
          <w:szCs w:val="24"/>
        </w:rPr>
      </w:pPr>
      <w:r w:rsidRPr="00072C24">
        <w:rPr>
          <w:rFonts w:ascii="Dubai" w:hAnsi="Dubai" w:cs="Dubai"/>
          <w:sz w:val="24"/>
          <w:szCs w:val="24"/>
          <w:rtl/>
        </w:rPr>
        <w:t>يعتمد الكتاب على مقاربة تحليلية متعددة الأبعاد، تجمع بين القراءة التحليلية للخطاب الملكي بوصفه وثيقةً استراتيجية مؤسِّسة لا مجرد خطاب للشرعية، والتحليل الكرونولوجي المقارن للسياسات العمومية لرصد مسارات التراكم عبر الزمن، واستحضار السياق الإقليمي والدولي لوضع التجربة المغربية في منظورها الصحيح. وهذه المقاربة الثلاثية تُتيح للكتاب تجاوز نق</w:t>
      </w:r>
      <w:r>
        <w:rPr>
          <w:rFonts w:ascii="Dubai" w:hAnsi="Dubai" w:cs="Dubai" w:hint="cs"/>
          <w:sz w:val="24"/>
          <w:szCs w:val="24"/>
          <w:rtl/>
        </w:rPr>
        <w:t>ط</w:t>
      </w:r>
      <w:r w:rsidRPr="00072C24">
        <w:rPr>
          <w:rFonts w:ascii="Dubai" w:hAnsi="Dubai" w:cs="Dubai"/>
          <w:sz w:val="24"/>
          <w:szCs w:val="24"/>
          <w:rtl/>
        </w:rPr>
        <w:t>تَين متقابلتَين: المديح المُفرِط الذي يُهمل الإكراهات والنقائص، والنقد المُجرَّد الذي لا يُقِرّ بحجم ما أُنجز</w:t>
      </w:r>
      <w:r w:rsidRPr="00072C24">
        <w:rPr>
          <w:rFonts w:ascii="Dubai" w:hAnsi="Dubai" w:cs="Dubai"/>
          <w:sz w:val="24"/>
          <w:szCs w:val="24"/>
        </w:rPr>
        <w:t>.</w:t>
      </w:r>
    </w:p>
    <w:p w14:paraId="117BFBE1" w14:textId="77777777" w:rsidR="000910C4" w:rsidRPr="00072C24" w:rsidRDefault="000910C4" w:rsidP="000910C4">
      <w:pPr>
        <w:bidi/>
        <w:spacing w:after="0" w:line="240" w:lineRule="auto"/>
        <w:jc w:val="both"/>
        <w:rPr>
          <w:rFonts w:ascii="Dubai" w:hAnsi="Dubai" w:cs="Dubai"/>
          <w:sz w:val="24"/>
          <w:szCs w:val="24"/>
        </w:rPr>
      </w:pPr>
      <w:r w:rsidRPr="00072C24">
        <w:rPr>
          <w:rFonts w:ascii="Dubai" w:hAnsi="Dubai" w:cs="Dubai"/>
          <w:sz w:val="24"/>
          <w:szCs w:val="24"/>
          <w:rtl/>
        </w:rPr>
        <w:lastRenderedPageBreak/>
        <w:t>يُقارب الكتاب موضوعه عبر ثلاثة محاور كبرى تُشكّل طبقات متراتبة من التحليل. المحور الأول يتناول التنمية البشرية والإصلاح المؤسسي من خلال جملة من الأوراش الكبرى: المبادرة الوطنية للتنمية البشرية التي أطلقها الملك عام 2005 لتكون أحد أكبر مشاريع العدالة الاجتماعية في المنطقة، وورش الحماية الاجتماعية الشاملة الذي وُصف بأنه ثورة اجتماعية حقيقية تهدف إلى تعميم التأمين الصحي وتوسيع نطاق التعويضات، والإصلاحات الدستورية لعام 2011 التي أرست مبدأ استقلالية السلطة القضائية ووسّعت دائرة الحقوق الاقتصادية والاجتماعية والثقافية. ويُبرز الكتاب في هذا المحور الرابط الحيوي بين الإصلاح الحقوقي وهيئة الإنصاف والمصالحة من جهة، والاستقرار السياسي والمؤسساتي من جهة أخرى، بما يُقدِّم تجربة العدالة الانتقالية المغربية نموذجاً في بناء الثقة وطيّ صفحات الماضي</w:t>
      </w:r>
      <w:r w:rsidRPr="00072C24">
        <w:rPr>
          <w:rFonts w:ascii="Dubai" w:hAnsi="Dubai" w:cs="Dubai"/>
          <w:sz w:val="24"/>
          <w:szCs w:val="24"/>
        </w:rPr>
        <w:t>.</w:t>
      </w:r>
    </w:p>
    <w:p w14:paraId="5C7AB1ED" w14:textId="77777777" w:rsidR="000910C4" w:rsidRPr="00072C24" w:rsidRDefault="000910C4" w:rsidP="000910C4">
      <w:pPr>
        <w:bidi/>
        <w:spacing w:after="0" w:line="240" w:lineRule="auto"/>
        <w:jc w:val="both"/>
        <w:rPr>
          <w:rFonts w:ascii="Dubai" w:hAnsi="Dubai" w:cs="Dubai"/>
          <w:sz w:val="24"/>
          <w:szCs w:val="24"/>
        </w:rPr>
      </w:pPr>
      <w:r w:rsidRPr="00072C24">
        <w:rPr>
          <w:rFonts w:ascii="Dubai" w:hAnsi="Dubai" w:cs="Dubai"/>
          <w:sz w:val="24"/>
          <w:szCs w:val="24"/>
          <w:rtl/>
        </w:rPr>
        <w:t>المحور الثاني يُقارب الأوراش الاقتصادية والطاقية والبنية التحتية من زاوية الجغرافيا الاستراتيجية لا من زاوية المشاريع المنفردة. فالقطار الفائق السرعة البراق والمركب المينائي طنجة المتوسط وميناء الداخلة الأطلسي ليست مشاريع متجاورة بالصدفة، بل أضلاع متماسكة لرؤية واحدة: تحويل المغرب من هامش البحر الأبيض المتوسط إلى مركز ربط استراتيجي بين ثلاث قارات. وفي المجال الطاقي، يُبيّن الكتاب كيف تحوّلت استراتيجية الطاقات المتجددة — من الطاقة الشمسية إلى طاقة الرياح وصولاً إلى أفق الهيدروجين الأخضر — إلى رافعة لاكتساب السيادة الطاقية وتعزيز التنافسية الاقتصادية وترسيخ المكانة الدولية في آن واحد. ويُحلّل الكتاب أيضاً ورش الجهوية المتقدمة الذي أعاد رسم توزيع السلطة بين المركز والأقاليم، والنموذج التنموي الجديد للأقاليم الجنوبية الذي يجعل من الصحراء المغربية قطباً اقتصادياً وصلةَ وصل إفريقية</w:t>
      </w:r>
      <w:r w:rsidRPr="00072C24">
        <w:rPr>
          <w:rFonts w:ascii="Dubai" w:hAnsi="Dubai" w:cs="Dubai"/>
          <w:sz w:val="24"/>
          <w:szCs w:val="24"/>
        </w:rPr>
        <w:t>.</w:t>
      </w:r>
    </w:p>
    <w:p w14:paraId="6A08C8B8" w14:textId="77777777" w:rsidR="000910C4" w:rsidRPr="00072C24" w:rsidRDefault="000910C4" w:rsidP="000910C4">
      <w:pPr>
        <w:bidi/>
        <w:spacing w:after="0" w:line="240" w:lineRule="auto"/>
        <w:jc w:val="both"/>
        <w:rPr>
          <w:rFonts w:ascii="Dubai" w:hAnsi="Dubai" w:cs="Dubai"/>
          <w:sz w:val="24"/>
          <w:szCs w:val="24"/>
        </w:rPr>
      </w:pPr>
      <w:r w:rsidRPr="00072C24">
        <w:rPr>
          <w:rFonts w:ascii="Dubai" w:hAnsi="Dubai" w:cs="Dubai"/>
          <w:sz w:val="24"/>
          <w:szCs w:val="24"/>
          <w:rtl/>
        </w:rPr>
        <w:t>المحور الثالث يُفرد الكتاب لمكانة الشباب في الخطاب الملكي عبر أربع مراحل زمنية بين 1999 و2024، كاشفاً عن تحول جوهري في فلسفة الدولة: من نموذج «الرعاية» الذي يُعامل الشباب موضوعاً للسياسات، إلى نموذج «التمكين» الذي يجعل منه فاعلاً في المشروع التنموي الوطني. وهذا المحور يكشف من زاوية مُغايِرة عن طبيعة العقد الاجتماعي الجديد الذي تُؤسِّسه سياسة الأوراش الكبرى: عقد يقوم على الاستثمار في الرأسمال البشري الشاب بوصفه شرطاً للاستدامة التنموية لا مجرد التزاماً اجتماعياً</w:t>
      </w:r>
      <w:r w:rsidRPr="00072C24">
        <w:rPr>
          <w:rFonts w:ascii="Dubai" w:hAnsi="Dubai" w:cs="Dubai"/>
          <w:sz w:val="24"/>
          <w:szCs w:val="24"/>
        </w:rPr>
        <w:t>.</w:t>
      </w:r>
    </w:p>
    <w:p w14:paraId="6E09277D" w14:textId="77777777" w:rsidR="000910C4" w:rsidRPr="00926EE7" w:rsidRDefault="000910C4" w:rsidP="000910C4">
      <w:pPr>
        <w:bidi/>
        <w:spacing w:after="0" w:line="240" w:lineRule="auto"/>
        <w:jc w:val="both"/>
        <w:rPr>
          <w:rFonts w:ascii="Dubai" w:hAnsi="Dubai" w:cs="Dubai"/>
          <w:sz w:val="24"/>
          <w:szCs w:val="24"/>
          <w:rtl/>
        </w:rPr>
      </w:pPr>
      <w:r w:rsidRPr="00072C24">
        <w:rPr>
          <w:rFonts w:ascii="Dubai" w:hAnsi="Dubai" w:cs="Dubai"/>
          <w:sz w:val="24"/>
          <w:szCs w:val="24"/>
          <w:rtl/>
        </w:rPr>
        <w:t>يتوقف الكتاب بالتفصيل عند الأبعاد الجيوسياسية والاستراتيجية لهذه الأوراش، مناقشاً كيف سعى المغرب إلى إعادة تموقعه إقليمياً ودولياً. فالانفتاح الأفريقي الذي قاده الملك محمد السادس بنفسه عبر أكثر من خمسين زيارة لدول القارة وتوقيع مئات الاتفاقيات التنموية، ليس دبلوماسيةً ناعمةً عابرة، بل مشروعٌ سيادي يرمي إلى تحويل المغرب إلى بوابة التقاء محورَي التجارة الأطلسي والإفريقي. ويُحلّل الكتاب هذه الاستراتيجية من خلال مشاريع محوريةٍ عدة: أنبوب الغاز المغرب–نيجيريا بوصفه مشروعاً للتكامل الطاقي القاري الذي يُعيد رسم خريطة الأمن الطاقي الأوروبي–الإفريقي، وترسيم المجالات البحرية بوصفه خطوةً سيادية تُحدِّد حقوق الاستغلال الحصري للموارد، والمسار الدبلوماسي الطويل في ملف الصحراء المغربية الذي توّج بالقرار الأممي 2797 عام 2025</w:t>
      </w:r>
      <w:r w:rsidRPr="00072C24">
        <w:rPr>
          <w:rFonts w:ascii="Dubai" w:hAnsi="Dubai" w:cs="Dubai"/>
          <w:sz w:val="24"/>
          <w:szCs w:val="24"/>
        </w:rPr>
        <w:t>.</w:t>
      </w:r>
    </w:p>
    <w:p w14:paraId="703CCEC8" w14:textId="77777777" w:rsidR="000910C4" w:rsidRPr="00926EE7" w:rsidRDefault="000910C4" w:rsidP="000910C4">
      <w:pPr>
        <w:bidi/>
        <w:spacing w:after="0" w:line="240" w:lineRule="auto"/>
        <w:jc w:val="both"/>
        <w:rPr>
          <w:rFonts w:ascii="Dubai" w:hAnsi="Dubai" w:cs="Dubai"/>
          <w:sz w:val="24"/>
          <w:szCs w:val="24"/>
        </w:rPr>
      </w:pPr>
      <w:r w:rsidRPr="00072C24">
        <w:rPr>
          <w:rFonts w:ascii="Dubai" w:hAnsi="Dubai" w:cs="Dubai"/>
          <w:sz w:val="24"/>
          <w:szCs w:val="24"/>
          <w:rtl/>
        </w:rPr>
        <w:t xml:space="preserve">يُقدِّم الكتاب في خاتمته تجربة المغرب في الإصلاح التدريجي والاستقرار المؤسساتي والتنمية المتواصلة بوصفها نموذجاً في تدبير الانتقال والتحول داخل الدول الصاعدة. فـ«مملكة الأوراش» ليست كتاباً عن المشاريع فقط، بل هو كتاب عن فكرة الدولة وعن إرادة الإصلاح وعن العلاقة بين الشرعية والتنمية وعن السياسة حين تتحول إلى رؤية حضارية طويلة النفس. وما يجعل هذا النموذج جديراً بالتحليل والتأمل هو قدرته على الجمع بين ثلاثة توترات يعجز كثير من الأنظمة عن التوفيق بينها: التجديد دون قطيعة، والتراكم دون جمود، والاستقرار دون </w:t>
      </w:r>
      <w:r w:rsidRPr="00072C24">
        <w:rPr>
          <w:rFonts w:ascii="Dubai" w:hAnsi="Dubai" w:cs="Dubai"/>
          <w:sz w:val="24"/>
          <w:szCs w:val="24"/>
          <w:rtl/>
        </w:rPr>
        <w:lastRenderedPageBreak/>
        <w:t>ركود. وهذا بالضبط ما يُسمّيه الكتاب «مملكة الأوراش»: ليس مملكةَ المشاريع المُنجَزة فحسب، بل مملكةَ الأوراش المفتوحة دائماً على المستقبل</w:t>
      </w:r>
      <w:r w:rsidRPr="00072C24">
        <w:rPr>
          <w:rFonts w:ascii="Dubai" w:hAnsi="Dubai" w:cs="Dubai"/>
          <w:sz w:val="24"/>
          <w:szCs w:val="24"/>
        </w:rPr>
        <w:t>.</w:t>
      </w:r>
    </w:p>
    <w:p w14:paraId="67D5CFE8" w14:textId="77777777" w:rsidR="000910C4" w:rsidRDefault="000910C4" w:rsidP="000910C4">
      <w:pPr>
        <w:pageBreakBefore/>
        <w:bidi/>
      </w:pPr>
      <w:r>
        <w:lastRenderedPageBreak/>
        <w:br/>
      </w:r>
    </w:p>
    <w:p w14:paraId="1095DDDC" w14:textId="77777777" w:rsidR="000910C4" w:rsidRDefault="000910C4" w:rsidP="000910C4">
      <w:pPr>
        <w:shd w:val="clear" w:color="auto" w:fill="1C2E4A"/>
        <w:bidi/>
        <w:spacing w:before="180"/>
        <w:jc w:val="center"/>
      </w:pPr>
      <w:r>
        <w:rPr>
          <w:rFonts w:ascii="Traditional Arabic" w:eastAsia="Traditional Arabic" w:hAnsi="Traditional Arabic" w:cs="Traditional Arabic"/>
          <w:b/>
          <w:bCs/>
          <w:color w:val="FFFFFF"/>
          <w:sz w:val="25"/>
          <w:szCs w:val="25"/>
        </w:rPr>
        <w:t xml:space="preserve">  الملخص بالفرنسية  </w:t>
      </w:r>
      <w:r>
        <w:rPr>
          <w:rFonts w:ascii="Arial" w:eastAsia="Arial" w:hAnsi="Arial" w:cs="Arial"/>
          <w:color w:val="D4B978"/>
          <w:sz w:val="20"/>
          <w:szCs w:val="20"/>
        </w:rPr>
        <w:t xml:space="preserve">   ·   Résumé en Français  </w:t>
      </w:r>
    </w:p>
    <w:p w14:paraId="606D0DF2" w14:textId="77777777" w:rsidR="000910C4" w:rsidRDefault="000910C4" w:rsidP="000910C4">
      <w:pPr>
        <w:pBdr>
          <w:bottom w:val="single" w:sz="4" w:space="1" w:color="9A7B2F"/>
        </w:pBdr>
        <w:bidi/>
      </w:pPr>
    </w:p>
    <w:p w14:paraId="52BCF2A0" w14:textId="77777777" w:rsidR="000910C4" w:rsidRDefault="000910C4" w:rsidP="000910C4">
      <w:pPr>
        <w:bidi/>
        <w:spacing w:after="80"/>
      </w:pPr>
    </w:p>
    <w:p w14:paraId="35B4CBAD" w14:textId="77777777" w:rsidR="000910C4" w:rsidRDefault="000910C4" w:rsidP="000910C4">
      <w:pPr>
        <w:bidi/>
        <w:spacing w:after="30"/>
        <w:jc w:val="center"/>
      </w:pPr>
      <w:r>
        <w:rPr>
          <w:rFonts w:ascii="Arial" w:eastAsia="Arial" w:hAnsi="Arial" w:cs="Arial"/>
          <w:b/>
          <w:bCs/>
          <w:color w:val="1C2E4A"/>
          <w:sz w:val="36"/>
          <w:szCs w:val="36"/>
        </w:rPr>
        <w:t>LE ROYAUME DES CHANTIERS</w:t>
      </w:r>
    </w:p>
    <w:p w14:paraId="73F686BC" w14:textId="77777777" w:rsidR="000910C4" w:rsidRDefault="000910C4" w:rsidP="000910C4">
      <w:pPr>
        <w:bidi/>
        <w:spacing w:after="80"/>
        <w:jc w:val="center"/>
      </w:pPr>
      <w:r>
        <w:rPr>
          <w:rFonts w:ascii="Arial" w:eastAsia="Arial" w:hAnsi="Arial" w:cs="Arial"/>
          <w:i/>
          <w:iCs/>
          <w:color w:val="9A7B2F"/>
        </w:rPr>
        <w:t>Quand la volonté du Roi forge l'épopée de la Nation</w:t>
      </w:r>
    </w:p>
    <w:p w14:paraId="539BC0CC" w14:textId="77777777" w:rsidR="000910C4" w:rsidRDefault="000910C4" w:rsidP="000910C4">
      <w:pPr>
        <w:pBdr>
          <w:bottom w:val="single" w:sz="2" w:space="1" w:color="DDDDDD"/>
        </w:pBdr>
        <w:bidi/>
      </w:pPr>
    </w:p>
    <w:p w14:paraId="19403E89" w14:textId="77777777" w:rsidR="000910C4" w:rsidRDefault="000910C4" w:rsidP="000910C4">
      <w:pPr>
        <w:bidi/>
        <w:spacing w:after="80"/>
      </w:pPr>
    </w:p>
    <w:p w14:paraId="50ABBAE0" w14:textId="77777777" w:rsidR="000910C4" w:rsidRPr="00926EE7" w:rsidRDefault="000910C4" w:rsidP="000910C4">
      <w:pPr>
        <w:spacing w:after="0" w:line="240" w:lineRule="auto"/>
        <w:ind w:firstLine="360"/>
        <w:jc w:val="both"/>
        <w:rPr>
          <w:rFonts w:ascii="Dubai" w:hAnsi="Dubai" w:cs="Dubai"/>
        </w:rPr>
      </w:pPr>
      <w:r w:rsidRPr="00926EE7">
        <w:rPr>
          <w:rFonts w:ascii="Dubai" w:eastAsia="Arial" w:hAnsi="Dubai" w:cs="Dubai"/>
          <w:color w:val="111827"/>
          <w:sz w:val="22"/>
          <w:szCs w:val="22"/>
        </w:rPr>
        <w:t>Cet ouvrage s'inscrit dans une démarche intellectuelle et académique ambitieuse : lire l'un des parcours politiques et développementaux les plus singuliers du monde arabe et africain contemporain — celui que le Maroc a forgé au fil d'un quart de siècle sous le règne de Sa Majesté le Roi Mohammed VI. Mais cette lecture ne s'arrête pas à l'inventaire chronologique des réalisations, ni au seul recensement des projets : elle cherche à saisir la structure profonde de ce qui s'est produit. Comment s'est constitué un nouveau modèle de l'État marocain ? Quel fil conducteur relie des dizaines de chantiers aux domaines, aux temporalités et aux objectifs aussi variés ? Comment la politique s'est-elle transformée, dans cette période, d'une pratique sectorielle fragmentée en une vision civilisationnelle cohérente et intégrée ?</w:t>
      </w:r>
    </w:p>
    <w:p w14:paraId="672D0A8D" w14:textId="77777777" w:rsidR="000910C4" w:rsidRPr="00926EE7" w:rsidRDefault="000910C4" w:rsidP="000910C4">
      <w:pPr>
        <w:spacing w:after="0" w:line="240" w:lineRule="auto"/>
        <w:ind w:firstLine="360"/>
        <w:jc w:val="both"/>
        <w:rPr>
          <w:rFonts w:ascii="Dubai" w:hAnsi="Dubai" w:cs="Dubai"/>
        </w:rPr>
      </w:pPr>
      <w:r w:rsidRPr="00926EE7">
        <w:rPr>
          <w:rFonts w:ascii="Dubai" w:eastAsia="Arial" w:hAnsi="Dubai" w:cs="Dubai"/>
          <w:color w:val="111827"/>
          <w:sz w:val="22"/>
          <w:szCs w:val="22"/>
        </w:rPr>
        <w:t>L'ouvrage refuse dès l'abord de lire les « grands chantiers » comme de simples projets d'infrastructure ou de vastes investissements publics. Il les saisit comme une philosophie de gouvernance articulée autour de trois piliers imbriqués : l'idée d'un État initiateur, qui n'attend pas que la crise soit consommée pour agir, mais anticipe, conçoit et ingénierie ; l'État social, qui fait de la justice distributive et de la réduction des inégalités territoriales le fondement de sa légitimité et non une simple obligation morale ; et l'État qui convertit le développement en instrument de reproduction de la confiance politique et de renouvellement du contrat social entre l'institution et le citoyen.</w:t>
      </w:r>
    </w:p>
    <w:p w14:paraId="45FAA1A2" w14:textId="77777777" w:rsidR="000910C4" w:rsidRPr="00926EE7" w:rsidRDefault="000910C4" w:rsidP="000910C4">
      <w:pPr>
        <w:spacing w:after="0" w:line="240" w:lineRule="auto"/>
        <w:ind w:firstLine="360"/>
        <w:jc w:val="both"/>
        <w:rPr>
          <w:rFonts w:ascii="Dubai" w:hAnsi="Dubai" w:cs="Dubai"/>
        </w:rPr>
      </w:pPr>
      <w:r w:rsidRPr="00926EE7">
        <w:rPr>
          <w:rFonts w:ascii="Dubai" w:eastAsia="Arial" w:hAnsi="Dubai" w:cs="Dubai"/>
          <w:color w:val="111827"/>
          <w:sz w:val="22"/>
          <w:szCs w:val="22"/>
        </w:rPr>
        <w:t>L'ouvrage soulève une question fondamentale qui dépasse la description : comment une monarchie constitutionnelle a-t-elle réussi à conduire, en l'espace d'un quart de siècle, des transformations structurelles profondes à travers des secteurs multiples et disparates, tandis que des États comparables échouaient à réaliser des réformes analogues malgré des ressources supérieures et des pressions extérieures plus intenses ? La réponse que propose le livre ne recourt ni à l'abondance matérielle ni à la chance historique, mais révèle une logique interne fondée sur la continuité de la vision malgré la rotation des gouvernements, l'accumulation institutionnelle qui fait de chaque chantier le levier du suivant, et la narrative fondateur qui confère à l'ensemble des chantiers un sens politique et sociétal dépassant la somme de ses parties.</w:t>
      </w:r>
    </w:p>
    <w:p w14:paraId="3B179899" w14:textId="77777777" w:rsidR="000910C4" w:rsidRPr="00926EE7" w:rsidRDefault="000910C4" w:rsidP="000910C4">
      <w:pPr>
        <w:spacing w:after="0" w:line="240" w:lineRule="auto"/>
        <w:ind w:firstLine="360"/>
        <w:jc w:val="both"/>
        <w:rPr>
          <w:rFonts w:ascii="Dubai" w:hAnsi="Dubai" w:cs="Dubai"/>
        </w:rPr>
      </w:pPr>
      <w:r w:rsidRPr="00926EE7">
        <w:rPr>
          <w:rFonts w:ascii="Dubai" w:eastAsia="Arial" w:hAnsi="Dubai" w:cs="Dubai"/>
          <w:color w:val="111827"/>
          <w:sz w:val="22"/>
          <w:szCs w:val="22"/>
        </w:rPr>
        <w:t xml:space="preserve">La méthodologie est délibérément pluridimensionnelle : une lecture analytique des discours royaux comme documents stratégiques fondateurs plutôt que comme instruments de légitimation rhétorique </w:t>
      </w:r>
      <w:r w:rsidRPr="00926EE7">
        <w:rPr>
          <w:rFonts w:ascii="Dubai" w:eastAsia="Arial" w:hAnsi="Dubai" w:cs="Dubai"/>
          <w:color w:val="111827"/>
          <w:sz w:val="22"/>
          <w:szCs w:val="22"/>
        </w:rPr>
        <w:lastRenderedPageBreak/>
        <w:t>; une analyse chronologique comparée des politiques publiques permettant de cartographier les trajectoires d'accumulation dans le temps long ; et la mise en perspective du contexte régional et international pour situer l'expérience marocaine dans son cadre de référence juste. Cette triple approche permet à l'ouvrage de dépasser deux écueils symétriques : la célébration sans nuance qui occulte les contraintes et les insuffisances, et la critique abstraite qui ne reconnaît pas l'ampleur de ce qui a été accompli.</w:t>
      </w:r>
    </w:p>
    <w:p w14:paraId="1345E9C5" w14:textId="77777777" w:rsidR="000910C4" w:rsidRPr="00926EE7" w:rsidRDefault="000910C4" w:rsidP="000910C4">
      <w:pPr>
        <w:spacing w:after="0" w:line="240" w:lineRule="auto"/>
        <w:ind w:firstLine="360"/>
        <w:jc w:val="both"/>
        <w:rPr>
          <w:rFonts w:ascii="Dubai" w:hAnsi="Dubai" w:cs="Dubai"/>
        </w:rPr>
      </w:pPr>
      <w:r w:rsidRPr="00926EE7">
        <w:rPr>
          <w:rFonts w:ascii="Dubai" w:eastAsia="Arial" w:hAnsi="Dubai" w:cs="Dubai"/>
          <w:color w:val="111827"/>
          <w:sz w:val="22"/>
          <w:szCs w:val="22"/>
        </w:rPr>
        <w:t>L'ouvrage s'organise en trois axes représentant trois couches d'analyse imbriquées. Le premier axe traite du développement humain et de la réforme institutionnelle à travers plusieurs grands chantiers : l'Initiative Nationale pour le Développement Humain lancée en 2005, considérée comme l'un des plus grands projets de justice sociale de la région ; le vaste programme de protection sociale universelle décrit comme une véritable révolution sociale visant à généraliser l'assurance maladie et élargir les allocations ; les réformes constitutionnelles de 2011 qui ont consacré l'indépendance du pouvoir judiciaire et élargi le champ des droits économiques, sociaux et culturels. Le livre met en évidence dans cet axe le lien vital entre la réforme des droits et l'Instance Équité et Réconciliation d'un côté, et la stabilité politique et institutionnelle de l'autre, présentant ainsi l'expérience marocaine de justice transitionnelle comme un modèle d'édification de la confiance.</w:t>
      </w:r>
    </w:p>
    <w:p w14:paraId="7C25E947" w14:textId="77777777" w:rsidR="000910C4" w:rsidRPr="00926EE7" w:rsidRDefault="000910C4" w:rsidP="000910C4">
      <w:pPr>
        <w:spacing w:after="0" w:line="240" w:lineRule="auto"/>
        <w:ind w:firstLine="360"/>
        <w:jc w:val="both"/>
        <w:rPr>
          <w:rFonts w:ascii="Dubai" w:hAnsi="Dubai" w:cs="Dubai"/>
        </w:rPr>
      </w:pPr>
      <w:r w:rsidRPr="00926EE7">
        <w:rPr>
          <w:rFonts w:ascii="Dubai" w:eastAsia="Arial" w:hAnsi="Dubai" w:cs="Dubai"/>
          <w:color w:val="111827"/>
          <w:sz w:val="22"/>
          <w:szCs w:val="22"/>
        </w:rPr>
        <w:t>Le deuxième axe aborde les grands projets économiques, énergétiques et infrastructurels sous l'angle de la géographie stratégique plutôt que des projets isolés. Al-Boraq, Tanger Med et le port Dakhla Atlantique ne sont pas des projets juxtaposés par hasard : ce sont les arêtes solidaires d'une vision unique — transformer le Maroc de la marge méditerranéenne en nœud stratégique de connectivité entre trois continents. Dans le domaine énergétique, le livre montre comment la stratégie des énergies renouvelables — du solaire à l'éolien jusqu'à l'hydrogène vert — est devenue à la fois un levier d'acquisition de la souveraineté énergétique, de renforcement de la compétitivité économique et d'affirmation du positionnement international. Le livre analyse également le chantier de la régionalisation avancée qui a redistribué les pouvoirs entre le centre et les régions, ainsi que le nouveau modèle de développement des provinces du Sud qui fait du Sahara marocain un pôle économique et une passerelle africaine.</w:t>
      </w:r>
    </w:p>
    <w:p w14:paraId="55734A45" w14:textId="77777777" w:rsidR="000910C4" w:rsidRPr="00926EE7" w:rsidRDefault="000910C4" w:rsidP="000910C4">
      <w:pPr>
        <w:spacing w:after="0" w:line="240" w:lineRule="auto"/>
        <w:ind w:firstLine="360"/>
        <w:jc w:val="both"/>
        <w:rPr>
          <w:rFonts w:ascii="Dubai" w:hAnsi="Dubai" w:cs="Dubai"/>
        </w:rPr>
      </w:pPr>
      <w:r w:rsidRPr="00926EE7">
        <w:rPr>
          <w:rFonts w:ascii="Dubai" w:eastAsia="Arial" w:hAnsi="Dubai" w:cs="Dubai"/>
          <w:color w:val="111827"/>
          <w:sz w:val="22"/>
          <w:szCs w:val="22"/>
        </w:rPr>
        <w:t>Le troisième axe consacre une analyse approfondie à la place de la jeunesse dans le discours royal à travers quatre phases chronologiques entre 1999 et 2024, révélant un glissement fondamental dans la philosophie de l'État : du modèle de la « tutelle », qui traite la jeunesse comme objet des politiques, au modèle de l'« émancipation productive », qui en fait un acteur du projet développemental national. Cet axe éclaire, sous un angle différent, la nature du nouveau contrat social que fonde la politique des grands chantiers : un contrat basé sur l'investissement dans le capital humain jeune comme condition de durabilité du développement.</w:t>
      </w:r>
    </w:p>
    <w:p w14:paraId="42F50E1C" w14:textId="77777777" w:rsidR="000910C4" w:rsidRPr="00926EE7" w:rsidRDefault="000910C4" w:rsidP="000910C4">
      <w:pPr>
        <w:spacing w:after="0" w:line="240" w:lineRule="auto"/>
        <w:ind w:firstLine="360"/>
        <w:jc w:val="both"/>
        <w:rPr>
          <w:rFonts w:ascii="Dubai" w:hAnsi="Dubai" w:cs="Dubai"/>
        </w:rPr>
      </w:pPr>
      <w:r w:rsidRPr="00926EE7">
        <w:rPr>
          <w:rFonts w:ascii="Dubai" w:eastAsia="Arial" w:hAnsi="Dubai" w:cs="Dubai"/>
          <w:color w:val="111827"/>
          <w:sz w:val="22"/>
          <w:szCs w:val="22"/>
        </w:rPr>
        <w:t xml:space="preserve">L'ouvrage s'attarde en détail sur les dimensions géopolitiques et stratégiques de ces chantiers, analysant comment le Maroc a cherché à se repositionner régionalement et internationalement. La politique d'ouverture africaine conduite personnellement par le Roi Mohammed VI à travers plus de </w:t>
      </w:r>
      <w:r w:rsidRPr="00926EE7">
        <w:rPr>
          <w:rFonts w:ascii="Dubai" w:eastAsia="Arial" w:hAnsi="Dubai" w:cs="Dubai"/>
          <w:color w:val="111827"/>
          <w:sz w:val="22"/>
          <w:szCs w:val="22"/>
        </w:rPr>
        <w:lastRenderedPageBreak/>
        <w:t>cinquante visites dans les pays du continent et la signature de centaines d'accords de développement n'est pas une diplomatie douce passagère, mais un projet souverain visant à faire du Maroc la porte d'entrée à la jonction des axes commercial atlantique et africain. L'ouvrage analyse cette stratégie à travers plusieurs projets pivots : le gazoduc Maroc-Nigeria comme projet d'intégration énergétique continentale redessinant la carte de la sécurité énergétique euro-africaine ; la délimitation des espaces maritimes comme démarche souveraine définissant les droits d'exploitation exclusive des ressources ; et le long parcours diplomatique sur la question du Sahara marocain, couronné par la résolution 2797 du Conseil de Sécurité de l'ONU en 2025.</w:t>
      </w:r>
    </w:p>
    <w:p w14:paraId="4E2B283B" w14:textId="77777777" w:rsidR="000910C4" w:rsidRPr="00926EE7" w:rsidRDefault="000910C4" w:rsidP="000910C4">
      <w:pPr>
        <w:spacing w:after="0" w:line="240" w:lineRule="auto"/>
        <w:ind w:firstLine="360"/>
        <w:jc w:val="both"/>
        <w:rPr>
          <w:rFonts w:ascii="Dubai" w:hAnsi="Dubai" w:cs="Dubai"/>
        </w:rPr>
      </w:pPr>
      <w:r w:rsidRPr="00926EE7">
        <w:rPr>
          <w:rFonts w:ascii="Dubai" w:eastAsia="Arial" w:hAnsi="Dubai" w:cs="Dubai"/>
          <w:color w:val="111827"/>
          <w:sz w:val="22"/>
          <w:szCs w:val="22"/>
        </w:rPr>
        <w:t>L'ouvrage présente en conclusion l'expérience marocaine de réforme graduelle, de stabilité institutionnelle et de développement soutenu comme un modèle de gestion de la transition et de la transformation au sein des États émergents. « Le Royaume des Chantiers » n'est pas seulement un livre sur les projets : c'est un livre sur l'idée de l'État, sur la volonté de réforme, sur la relation entre légitimité et développement, et sur la politique lorsqu'elle se mue en vision civilisationnelle de longue haleine. Ce qui rend ce modèle digne d'analyse et de réflexion, c'est sa capacité à conjuguer trois tensions que beaucoup de régimes échouent à concilier : le renouveau sans rupture, l'accumulation sans sclérose, et la stabilité sans stagnation.</w:t>
      </w:r>
    </w:p>
    <w:p w14:paraId="42EC18DD" w14:textId="77777777" w:rsidR="00A53F3A" w:rsidRPr="000910C4" w:rsidRDefault="00A53F3A" w:rsidP="000910C4">
      <w:pPr>
        <w:bidi/>
      </w:pPr>
    </w:p>
    <w:sectPr w:rsidR="00A53F3A" w:rsidRPr="000910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mbria"/>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خط مسعد المغربي">
    <w:panose1 w:val="02010000000000000000"/>
    <w:charset w:val="B2"/>
    <w:family w:val="auto"/>
    <w:pitch w:val="variable"/>
    <w:sig w:usb0="00002001" w:usb1="00000000" w:usb2="00000000" w:usb3="00000000" w:csb0="00000040" w:csb1="00000000"/>
  </w:font>
  <w:font w:name="Aptos Display">
    <w:altName w:val="Cambria"/>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C4"/>
    <w:rsid w:val="000910C4"/>
    <w:rsid w:val="00244376"/>
    <w:rsid w:val="00365397"/>
    <w:rsid w:val="004F38E8"/>
    <w:rsid w:val="00A007D5"/>
    <w:rsid w:val="00A53F3A"/>
    <w:rsid w:val="00C656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D238B"/>
  <w15:chartTrackingRefBased/>
  <w15:docId w15:val="{3E0D31DC-1A1B-4260-A3EB-B37151C9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0C4"/>
    <w:pPr>
      <w:spacing w:line="276" w:lineRule="auto"/>
    </w:pPr>
    <w:rPr>
      <w:rFonts w:eastAsiaTheme="minorEastAsia"/>
      <w:kern w:val="0"/>
      <w:sz w:val="21"/>
      <w:szCs w:val="21"/>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1308</TotalTime>
  <Pages>6</Pages>
  <Words>2032</Words>
  <Characters>11176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2026-07-03T16:24:00Z</dcterms:created>
  <dcterms:modified xsi:type="dcterms:W3CDTF">2026-07-08T11:55:00Z</dcterms:modified>
</cp:coreProperties>
</file>